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288E8" w14:textId="77777777" w:rsidR="004468CD" w:rsidRDefault="00000000">
      <w:pPr>
        <w:spacing w:after="840"/>
      </w:pPr>
      <w:r>
        <w:rPr>
          <w:b/>
          <w:color w:val="123E8A"/>
          <w:sz w:val="26"/>
        </w:rPr>
        <w:t>CANKIDS KIDSCAN</w:t>
      </w:r>
    </w:p>
    <w:p w14:paraId="6AFB0A8A" w14:textId="45713223" w:rsidR="004468CD" w:rsidRDefault="00000000">
      <w:pPr>
        <w:pStyle w:val="Title"/>
        <w:spacing w:after="240"/>
      </w:pPr>
      <w:r>
        <w:t xml:space="preserve">CanKids Organisation Profile </w:t>
      </w:r>
    </w:p>
    <w:p w14:paraId="3BD03D4E" w14:textId="77777777" w:rsidR="004468CD" w:rsidRDefault="00000000">
      <w:pPr>
        <w:spacing w:after="480"/>
      </w:pPr>
      <w:r>
        <w:rPr>
          <w:b/>
          <w:color w:val="7A287D"/>
          <w:sz w:val="36"/>
        </w:rPr>
        <w:t>Change for Childhood Cancer in India</w:t>
      </w:r>
    </w:p>
    <w:p w14:paraId="3ECCA5D7" w14:textId="77777777" w:rsidR="004468CD" w:rsidRDefault="00000000">
      <w:r>
        <w:t>After 22 years of building services, partnerships and childhood-cancer systems, CanKids is at an inflection point - ready to take proven approaches to scale. We seek impact partners who share our audacious yet realistic 2030 goals and can help demonstrate, measure and scale models for access, financial protection, survival and quality of life.</w:t>
      </w:r>
    </w:p>
    <w:p w14:paraId="4C02EE0A" w14:textId="77777777" w:rsidR="004468CD" w:rsidRDefault="00000000">
      <w:pPr>
        <w:spacing w:before="500" w:after="400"/>
      </w:pPr>
      <w:r>
        <w:rPr>
          <w:b/>
          <w:color w:val="7A287D"/>
          <w:sz w:val="30"/>
        </w:rPr>
        <w:t>100% ACCESS TO CARE</w:t>
      </w:r>
      <w:r>
        <w:rPr>
          <w:b/>
          <w:color w:val="7A287D"/>
          <w:sz w:val="30"/>
        </w:rPr>
        <w:br/>
      </w:r>
      <w:r>
        <w:rPr>
          <w:b/>
          <w:color w:val="F3B51B"/>
          <w:sz w:val="30"/>
        </w:rPr>
        <w:t>100% FINANCIAL PROTECTION</w:t>
      </w:r>
      <w:r>
        <w:rPr>
          <w:b/>
          <w:color w:val="F3B51B"/>
          <w:sz w:val="30"/>
        </w:rPr>
        <w:br/>
      </w:r>
      <w:r>
        <w:rPr>
          <w:b/>
          <w:color w:val="123E8A"/>
          <w:sz w:val="30"/>
        </w:rPr>
        <w:t>AT LEAST 60% SURVIVAL BY 2030</w:t>
      </w:r>
      <w:r>
        <w:rPr>
          <w:b/>
          <w:color w:val="123E8A"/>
          <w:sz w:val="30"/>
        </w:rPr>
        <w:br/>
      </w:r>
    </w:p>
    <w:p w14:paraId="2772D3AB" w14:textId="77777777" w:rsidR="004468CD" w:rsidRDefault="00000000">
      <w:r>
        <w:rPr>
          <w:b/>
          <w:sz w:val="28"/>
        </w:rPr>
        <w:t>Every Child  Every Chance  Every Time</w:t>
      </w:r>
    </w:p>
    <w:p w14:paraId="7B2F1F62" w14:textId="77777777" w:rsidR="004468CD" w:rsidRDefault="00000000">
      <w:r>
        <w:t>September 2026</w:t>
      </w:r>
    </w:p>
    <w:p w14:paraId="59D3F1C1" w14:textId="77777777" w:rsidR="004468CD" w:rsidRDefault="00000000">
      <w:r>
        <w:br w:type="page"/>
      </w:r>
    </w:p>
    <w:p w14:paraId="32EE5C65" w14:textId="77777777" w:rsidR="004468CD" w:rsidRDefault="00000000">
      <w:pPr>
        <w:pStyle w:val="Heading1"/>
      </w:pPr>
      <w:r>
        <w:lastRenderedPageBreak/>
        <w:t>Who We Are</w:t>
      </w:r>
    </w:p>
    <w:p w14:paraId="7D5B5C04" w14:textId="77777777" w:rsidR="004468CD" w:rsidRDefault="00000000">
      <w:r>
        <w:t>Founded in 2004, CanKids KidsCan is India’s national NGO dedicated exclusively to Change for Childhood Cancer. We combine direct patient and family support with health-systems strengthening from grassroots and district level to hospitals, states and national policy. Our distinctive role is to drive convergence: bringing governments, health authorities, treating institutions, professional bodies, researchers, civil society, communities, parents, survivors and funders together around shared childhood-cancer outcomes.</w:t>
      </w:r>
    </w:p>
    <w:p w14:paraId="34E5F0AD" w14:textId="77777777" w:rsidR="004468CD" w:rsidRDefault="00000000">
      <w:pPr>
        <w:pStyle w:val="Heading2"/>
      </w:pPr>
      <w:r>
        <w:t>Organisation and Governance Snapshot</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520"/>
        <w:gridCol w:w="7344"/>
      </w:tblGrid>
      <w:tr w:rsidR="004468CD" w14:paraId="6F5D4925" w14:textId="77777777">
        <w:trPr>
          <w:tblHeader/>
          <w:jc w:val="center"/>
        </w:trPr>
        <w:tc>
          <w:tcPr>
            <w:tcW w:w="2520" w:type="dxa"/>
            <w:shd w:val="clear" w:color="auto" w:fill="123E8A"/>
            <w:tcMar>
              <w:top w:w="120" w:type="dxa"/>
              <w:left w:w="140" w:type="dxa"/>
              <w:bottom w:w="120" w:type="dxa"/>
              <w:right w:w="140" w:type="dxa"/>
            </w:tcMar>
            <w:vAlign w:val="center"/>
          </w:tcPr>
          <w:p w14:paraId="744EF3FD" w14:textId="77777777" w:rsidR="004468CD" w:rsidRDefault="00000000">
            <w:pPr>
              <w:spacing w:after="0" w:line="245" w:lineRule="auto"/>
            </w:pPr>
            <w:r>
              <w:rPr>
                <w:b/>
                <w:color w:val="FFFFFF"/>
                <w:sz w:val="18"/>
              </w:rPr>
              <w:t>Organisation</w:t>
            </w:r>
          </w:p>
        </w:tc>
        <w:tc>
          <w:tcPr>
            <w:tcW w:w="7344" w:type="dxa"/>
            <w:shd w:val="clear" w:color="auto" w:fill="123E8A"/>
            <w:tcMar>
              <w:top w:w="120" w:type="dxa"/>
              <w:left w:w="140" w:type="dxa"/>
              <w:bottom w:w="120" w:type="dxa"/>
              <w:right w:w="140" w:type="dxa"/>
            </w:tcMar>
            <w:vAlign w:val="center"/>
          </w:tcPr>
          <w:p w14:paraId="13F31445" w14:textId="77777777" w:rsidR="004468CD" w:rsidRDefault="00000000">
            <w:pPr>
              <w:spacing w:after="0" w:line="245" w:lineRule="auto"/>
            </w:pPr>
            <w:r>
              <w:rPr>
                <w:b/>
                <w:color w:val="FFFFFF"/>
                <w:sz w:val="18"/>
              </w:rPr>
              <w:t>Current position</w:t>
            </w:r>
          </w:p>
        </w:tc>
      </w:tr>
      <w:tr w:rsidR="004468CD" w14:paraId="3B7C8D75" w14:textId="77777777">
        <w:trPr>
          <w:jc w:val="center"/>
        </w:trPr>
        <w:tc>
          <w:tcPr>
            <w:tcW w:w="2520" w:type="dxa"/>
            <w:tcMar>
              <w:top w:w="120" w:type="dxa"/>
              <w:left w:w="140" w:type="dxa"/>
              <w:bottom w:w="120" w:type="dxa"/>
              <w:right w:w="140" w:type="dxa"/>
            </w:tcMar>
            <w:vAlign w:val="center"/>
          </w:tcPr>
          <w:p w14:paraId="68CC057A" w14:textId="77777777" w:rsidR="004468CD" w:rsidRDefault="00000000">
            <w:pPr>
              <w:spacing w:after="0" w:line="245" w:lineRule="auto"/>
            </w:pPr>
            <w:r>
              <w:rPr>
                <w:sz w:val="18"/>
              </w:rPr>
              <w:t>Established</w:t>
            </w:r>
          </w:p>
        </w:tc>
        <w:tc>
          <w:tcPr>
            <w:tcW w:w="7344" w:type="dxa"/>
            <w:tcMar>
              <w:top w:w="120" w:type="dxa"/>
              <w:left w:w="140" w:type="dxa"/>
              <w:bottom w:w="120" w:type="dxa"/>
              <w:right w:w="140" w:type="dxa"/>
            </w:tcMar>
            <w:vAlign w:val="center"/>
          </w:tcPr>
          <w:p w14:paraId="75FB0F08" w14:textId="77777777" w:rsidR="004468CD" w:rsidRDefault="00000000">
            <w:pPr>
              <w:spacing w:after="0" w:line="245" w:lineRule="auto"/>
            </w:pPr>
            <w:r>
              <w:rPr>
                <w:sz w:val="18"/>
              </w:rPr>
              <w:t>2004; independent national society since 2012</w:t>
            </w:r>
          </w:p>
        </w:tc>
      </w:tr>
      <w:tr w:rsidR="004468CD" w14:paraId="39F01B38" w14:textId="77777777">
        <w:trPr>
          <w:jc w:val="center"/>
        </w:trPr>
        <w:tc>
          <w:tcPr>
            <w:tcW w:w="2520" w:type="dxa"/>
            <w:shd w:val="clear" w:color="auto" w:fill="F3F6FB"/>
            <w:tcMar>
              <w:top w:w="120" w:type="dxa"/>
              <w:left w:w="140" w:type="dxa"/>
              <w:bottom w:w="120" w:type="dxa"/>
              <w:right w:w="140" w:type="dxa"/>
            </w:tcMar>
            <w:vAlign w:val="center"/>
          </w:tcPr>
          <w:p w14:paraId="344B9C8B" w14:textId="77777777" w:rsidR="004468CD" w:rsidRDefault="00000000">
            <w:pPr>
              <w:spacing w:after="0" w:line="245" w:lineRule="auto"/>
            </w:pPr>
            <w:r>
              <w:rPr>
                <w:sz w:val="18"/>
              </w:rPr>
              <w:t>Operating model</w:t>
            </w:r>
          </w:p>
        </w:tc>
        <w:tc>
          <w:tcPr>
            <w:tcW w:w="7344" w:type="dxa"/>
            <w:shd w:val="clear" w:color="auto" w:fill="F3F6FB"/>
            <w:tcMar>
              <w:top w:w="120" w:type="dxa"/>
              <w:left w:w="140" w:type="dxa"/>
              <w:bottom w:w="120" w:type="dxa"/>
              <w:right w:w="140" w:type="dxa"/>
            </w:tcMar>
            <w:vAlign w:val="center"/>
          </w:tcPr>
          <w:p w14:paraId="53C14E92" w14:textId="77777777" w:rsidR="004468CD" w:rsidRDefault="00000000">
            <w:pPr>
              <w:spacing w:after="0" w:line="245" w:lineRule="auto"/>
            </w:pPr>
            <w:r>
              <w:rPr>
                <w:sz w:val="18"/>
              </w:rPr>
              <w:t>Direct patient and family support combined with convergence and health-systems strengthening</w:t>
            </w:r>
          </w:p>
        </w:tc>
      </w:tr>
      <w:tr w:rsidR="004468CD" w14:paraId="41A393FA" w14:textId="77777777">
        <w:trPr>
          <w:jc w:val="center"/>
        </w:trPr>
        <w:tc>
          <w:tcPr>
            <w:tcW w:w="2520" w:type="dxa"/>
            <w:tcMar>
              <w:top w:w="120" w:type="dxa"/>
              <w:left w:w="140" w:type="dxa"/>
              <w:bottom w:w="120" w:type="dxa"/>
              <w:right w:w="140" w:type="dxa"/>
            </w:tcMar>
            <w:vAlign w:val="center"/>
          </w:tcPr>
          <w:p w14:paraId="4B510790" w14:textId="77777777" w:rsidR="004468CD" w:rsidRDefault="00000000">
            <w:pPr>
              <w:spacing w:after="0" w:line="245" w:lineRule="auto"/>
            </w:pPr>
            <w:r>
              <w:rPr>
                <w:sz w:val="18"/>
              </w:rPr>
              <w:t>Government platform</w:t>
            </w:r>
          </w:p>
        </w:tc>
        <w:tc>
          <w:tcPr>
            <w:tcW w:w="7344" w:type="dxa"/>
            <w:tcMar>
              <w:top w:w="120" w:type="dxa"/>
              <w:left w:w="140" w:type="dxa"/>
              <w:bottom w:w="120" w:type="dxa"/>
              <w:right w:w="140" w:type="dxa"/>
            </w:tcMar>
            <w:vAlign w:val="center"/>
          </w:tcPr>
          <w:p w14:paraId="7E9BFF71" w14:textId="77777777" w:rsidR="004468CD" w:rsidRDefault="00000000">
            <w:pPr>
              <w:spacing w:after="0" w:line="245" w:lineRule="auto"/>
            </w:pPr>
            <w:r>
              <w:rPr>
                <w:sz w:val="18"/>
              </w:rPr>
              <w:t>10 State Government MoUs and 16 State Projects</w:t>
            </w:r>
          </w:p>
        </w:tc>
      </w:tr>
      <w:tr w:rsidR="004468CD" w14:paraId="289CE751" w14:textId="77777777">
        <w:trPr>
          <w:jc w:val="center"/>
        </w:trPr>
        <w:tc>
          <w:tcPr>
            <w:tcW w:w="2520" w:type="dxa"/>
            <w:shd w:val="clear" w:color="auto" w:fill="F3F6FB"/>
            <w:tcMar>
              <w:top w:w="120" w:type="dxa"/>
              <w:left w:w="140" w:type="dxa"/>
              <w:bottom w:w="120" w:type="dxa"/>
              <w:right w:w="140" w:type="dxa"/>
            </w:tcMar>
            <w:vAlign w:val="center"/>
          </w:tcPr>
          <w:p w14:paraId="3B70B676" w14:textId="77777777" w:rsidR="004468CD" w:rsidRDefault="00000000">
            <w:pPr>
              <w:spacing w:after="0" w:line="245" w:lineRule="auto"/>
            </w:pPr>
            <w:r>
              <w:rPr>
                <w:sz w:val="18"/>
              </w:rPr>
              <w:t>Governance and compliance</w:t>
            </w:r>
          </w:p>
        </w:tc>
        <w:tc>
          <w:tcPr>
            <w:tcW w:w="7344" w:type="dxa"/>
            <w:shd w:val="clear" w:color="auto" w:fill="F3F6FB"/>
            <w:tcMar>
              <w:top w:w="120" w:type="dxa"/>
              <w:left w:w="140" w:type="dxa"/>
              <w:bottom w:w="120" w:type="dxa"/>
              <w:right w:w="140" w:type="dxa"/>
            </w:tcMar>
            <w:vAlign w:val="center"/>
          </w:tcPr>
          <w:p w14:paraId="6E14A222" w14:textId="77777777" w:rsidR="004468CD" w:rsidRDefault="00000000">
            <w:pPr>
              <w:spacing w:after="0" w:line="245" w:lineRule="auto"/>
            </w:pPr>
            <w:r>
              <w:rPr>
                <w:sz w:val="18"/>
              </w:rPr>
              <w:t>Board-governed, professionally managed; 12A, 80G, CSR registration, NITI Aayog Darpan and FCRA</w:t>
            </w:r>
          </w:p>
        </w:tc>
      </w:tr>
    </w:tbl>
    <w:p w14:paraId="2662D6BC" w14:textId="77777777" w:rsidR="004468CD" w:rsidRDefault="004468CD">
      <w:pPr>
        <w:spacing w:after="0"/>
      </w:pPr>
    </w:p>
    <w:p w14:paraId="38D4A8A3" w14:textId="77777777" w:rsidR="004468CD" w:rsidRDefault="00000000">
      <w:pPr>
        <w:pStyle w:val="Heading1"/>
      </w:pPr>
      <w:r>
        <w:t>Impact at a Glance</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376"/>
        <w:gridCol w:w="7488"/>
      </w:tblGrid>
      <w:tr w:rsidR="004468CD" w14:paraId="3E026DDE" w14:textId="77777777">
        <w:trPr>
          <w:tblHeader/>
          <w:jc w:val="center"/>
        </w:trPr>
        <w:tc>
          <w:tcPr>
            <w:tcW w:w="2376" w:type="dxa"/>
            <w:shd w:val="clear" w:color="auto" w:fill="123E8A"/>
            <w:tcMar>
              <w:top w:w="120" w:type="dxa"/>
              <w:left w:w="140" w:type="dxa"/>
              <w:bottom w:w="120" w:type="dxa"/>
              <w:right w:w="140" w:type="dxa"/>
            </w:tcMar>
            <w:vAlign w:val="center"/>
          </w:tcPr>
          <w:p w14:paraId="515653D9" w14:textId="77777777" w:rsidR="004468CD" w:rsidRDefault="00000000">
            <w:pPr>
              <w:spacing w:after="0" w:line="245" w:lineRule="auto"/>
            </w:pPr>
            <w:r>
              <w:rPr>
                <w:b/>
                <w:color w:val="FFFFFF"/>
                <w:sz w:val="18"/>
              </w:rPr>
              <w:t>Scale</w:t>
            </w:r>
          </w:p>
        </w:tc>
        <w:tc>
          <w:tcPr>
            <w:tcW w:w="7488" w:type="dxa"/>
            <w:shd w:val="clear" w:color="auto" w:fill="123E8A"/>
            <w:tcMar>
              <w:top w:w="120" w:type="dxa"/>
              <w:left w:w="140" w:type="dxa"/>
              <w:bottom w:w="120" w:type="dxa"/>
              <w:right w:w="140" w:type="dxa"/>
            </w:tcMar>
            <w:vAlign w:val="center"/>
          </w:tcPr>
          <w:p w14:paraId="77DB957A" w14:textId="77777777" w:rsidR="004468CD" w:rsidRDefault="00000000">
            <w:pPr>
              <w:spacing w:after="0" w:line="245" w:lineRule="auto"/>
            </w:pPr>
            <w:r>
              <w:rPr>
                <w:b/>
                <w:color w:val="FFFFFF"/>
                <w:sz w:val="18"/>
              </w:rPr>
              <w:t>Current position</w:t>
            </w:r>
          </w:p>
        </w:tc>
      </w:tr>
      <w:tr w:rsidR="004468CD" w14:paraId="5DAC90DE" w14:textId="77777777">
        <w:trPr>
          <w:jc w:val="center"/>
        </w:trPr>
        <w:tc>
          <w:tcPr>
            <w:tcW w:w="2376" w:type="dxa"/>
            <w:tcMar>
              <w:top w:w="120" w:type="dxa"/>
              <w:left w:w="140" w:type="dxa"/>
              <w:bottom w:w="120" w:type="dxa"/>
              <w:right w:w="140" w:type="dxa"/>
            </w:tcMar>
            <w:vAlign w:val="center"/>
          </w:tcPr>
          <w:p w14:paraId="7E3DC3EC" w14:textId="77777777" w:rsidR="004468CD" w:rsidRDefault="00000000">
            <w:pPr>
              <w:spacing w:after="0" w:line="245" w:lineRule="auto"/>
            </w:pPr>
            <w:r>
              <w:rPr>
                <w:sz w:val="18"/>
              </w:rPr>
              <w:t>61.6%</w:t>
            </w:r>
          </w:p>
        </w:tc>
        <w:tc>
          <w:tcPr>
            <w:tcW w:w="7488" w:type="dxa"/>
            <w:tcMar>
              <w:top w:w="120" w:type="dxa"/>
              <w:left w:w="140" w:type="dxa"/>
              <w:bottom w:w="120" w:type="dxa"/>
              <w:right w:w="140" w:type="dxa"/>
            </w:tcMar>
            <w:vAlign w:val="center"/>
          </w:tcPr>
          <w:p w14:paraId="2292329E" w14:textId="77777777" w:rsidR="004468CD" w:rsidRDefault="00000000">
            <w:pPr>
              <w:spacing w:after="0" w:line="245" w:lineRule="auto"/>
            </w:pPr>
            <w:r>
              <w:rPr>
                <w:sz w:val="18"/>
              </w:rPr>
              <w:t>estimated national access to childhood cancer treatment by March 2026, approximately 62%</w:t>
            </w:r>
          </w:p>
        </w:tc>
      </w:tr>
      <w:tr w:rsidR="004468CD" w14:paraId="75840232" w14:textId="77777777">
        <w:trPr>
          <w:jc w:val="center"/>
        </w:trPr>
        <w:tc>
          <w:tcPr>
            <w:tcW w:w="2376" w:type="dxa"/>
            <w:shd w:val="clear" w:color="auto" w:fill="F3F6FB"/>
            <w:tcMar>
              <w:top w:w="120" w:type="dxa"/>
              <w:left w:w="140" w:type="dxa"/>
              <w:bottom w:w="120" w:type="dxa"/>
              <w:right w:w="140" w:type="dxa"/>
            </w:tcMar>
            <w:vAlign w:val="center"/>
          </w:tcPr>
          <w:p w14:paraId="403E7AB3" w14:textId="77777777" w:rsidR="004468CD" w:rsidRDefault="00000000">
            <w:pPr>
              <w:spacing w:after="0" w:line="245" w:lineRule="auto"/>
            </w:pPr>
            <w:r>
              <w:rPr>
                <w:sz w:val="18"/>
              </w:rPr>
              <w:t>166,000+</w:t>
            </w:r>
          </w:p>
        </w:tc>
        <w:tc>
          <w:tcPr>
            <w:tcW w:w="7488" w:type="dxa"/>
            <w:shd w:val="clear" w:color="auto" w:fill="F3F6FB"/>
            <w:tcMar>
              <w:top w:w="120" w:type="dxa"/>
              <w:left w:w="140" w:type="dxa"/>
              <w:bottom w:w="120" w:type="dxa"/>
              <w:right w:w="140" w:type="dxa"/>
            </w:tcMar>
            <w:vAlign w:val="center"/>
          </w:tcPr>
          <w:p w14:paraId="37F60E01" w14:textId="77777777" w:rsidR="004468CD" w:rsidRDefault="00000000">
            <w:pPr>
              <w:spacing w:after="0" w:line="245" w:lineRule="auto"/>
            </w:pPr>
            <w:r>
              <w:rPr>
                <w:sz w:val="18"/>
              </w:rPr>
              <w:t>children and families supported since inception; 26,000+ during FY 2025-26</w:t>
            </w:r>
          </w:p>
        </w:tc>
      </w:tr>
      <w:tr w:rsidR="004468CD" w14:paraId="1F61845A" w14:textId="77777777">
        <w:trPr>
          <w:jc w:val="center"/>
        </w:trPr>
        <w:tc>
          <w:tcPr>
            <w:tcW w:w="2376" w:type="dxa"/>
            <w:tcMar>
              <w:top w:w="120" w:type="dxa"/>
              <w:left w:w="140" w:type="dxa"/>
              <w:bottom w:w="120" w:type="dxa"/>
              <w:right w:w="140" w:type="dxa"/>
            </w:tcMar>
            <w:vAlign w:val="center"/>
          </w:tcPr>
          <w:p w14:paraId="64551D17" w14:textId="77777777" w:rsidR="004468CD" w:rsidRDefault="00000000">
            <w:pPr>
              <w:spacing w:after="0" w:line="245" w:lineRule="auto"/>
            </w:pPr>
            <w:r>
              <w:rPr>
                <w:sz w:val="18"/>
              </w:rPr>
              <w:t>143</w:t>
            </w:r>
          </w:p>
        </w:tc>
        <w:tc>
          <w:tcPr>
            <w:tcW w:w="7488" w:type="dxa"/>
            <w:tcMar>
              <w:top w:w="120" w:type="dxa"/>
              <w:left w:w="140" w:type="dxa"/>
              <w:bottom w:w="120" w:type="dxa"/>
              <w:right w:w="140" w:type="dxa"/>
            </w:tcMar>
            <w:vAlign w:val="center"/>
          </w:tcPr>
          <w:p w14:paraId="3049EEF9" w14:textId="77777777" w:rsidR="004468CD" w:rsidRDefault="00000000">
            <w:pPr>
              <w:spacing w:after="0" w:line="245" w:lineRule="auto"/>
            </w:pPr>
            <w:r>
              <w:rPr>
                <w:sz w:val="18"/>
              </w:rPr>
              <w:t>hospital partnerships across 61 cities and 22 States and UTs, within a 600+ hospital network</w:t>
            </w:r>
          </w:p>
        </w:tc>
      </w:tr>
      <w:tr w:rsidR="004468CD" w14:paraId="18C3E175" w14:textId="77777777">
        <w:trPr>
          <w:jc w:val="center"/>
        </w:trPr>
        <w:tc>
          <w:tcPr>
            <w:tcW w:w="2376" w:type="dxa"/>
            <w:shd w:val="clear" w:color="auto" w:fill="F3F6FB"/>
            <w:tcMar>
              <w:top w:w="120" w:type="dxa"/>
              <w:left w:w="140" w:type="dxa"/>
              <w:bottom w:w="120" w:type="dxa"/>
              <w:right w:w="140" w:type="dxa"/>
            </w:tcMar>
            <w:vAlign w:val="center"/>
          </w:tcPr>
          <w:p w14:paraId="7B1F2584" w14:textId="77777777" w:rsidR="004468CD" w:rsidRDefault="00000000">
            <w:pPr>
              <w:spacing w:after="0" w:line="245" w:lineRule="auto"/>
            </w:pPr>
            <w:r>
              <w:rPr>
                <w:sz w:val="18"/>
              </w:rPr>
              <w:t>10 and 16</w:t>
            </w:r>
          </w:p>
        </w:tc>
        <w:tc>
          <w:tcPr>
            <w:tcW w:w="7488" w:type="dxa"/>
            <w:shd w:val="clear" w:color="auto" w:fill="F3F6FB"/>
            <w:tcMar>
              <w:top w:w="120" w:type="dxa"/>
              <w:left w:w="140" w:type="dxa"/>
              <w:bottom w:w="120" w:type="dxa"/>
              <w:right w:w="140" w:type="dxa"/>
            </w:tcMar>
            <w:vAlign w:val="center"/>
          </w:tcPr>
          <w:p w14:paraId="74EF3B53" w14:textId="77777777" w:rsidR="004468CD" w:rsidRDefault="00000000">
            <w:pPr>
              <w:spacing w:after="0" w:line="245" w:lineRule="auto"/>
            </w:pPr>
            <w:r>
              <w:rPr>
                <w:sz w:val="18"/>
              </w:rPr>
              <w:t>State Government MoUs and Change for Childhood Cancer State Projects</w:t>
            </w:r>
          </w:p>
        </w:tc>
      </w:tr>
      <w:tr w:rsidR="004468CD" w14:paraId="7F1FDFF1" w14:textId="77777777">
        <w:trPr>
          <w:jc w:val="center"/>
        </w:trPr>
        <w:tc>
          <w:tcPr>
            <w:tcW w:w="2376" w:type="dxa"/>
            <w:tcMar>
              <w:top w:w="120" w:type="dxa"/>
              <w:left w:w="140" w:type="dxa"/>
              <w:bottom w:w="120" w:type="dxa"/>
              <w:right w:w="140" w:type="dxa"/>
            </w:tcMar>
            <w:vAlign w:val="center"/>
          </w:tcPr>
          <w:p w14:paraId="2DACF430" w14:textId="77777777" w:rsidR="004468CD" w:rsidRDefault="00000000">
            <w:pPr>
              <w:spacing w:after="0" w:line="245" w:lineRule="auto"/>
            </w:pPr>
            <w:r>
              <w:rPr>
                <w:sz w:val="18"/>
              </w:rPr>
              <w:t>INR 59.20 crore</w:t>
            </w:r>
          </w:p>
        </w:tc>
        <w:tc>
          <w:tcPr>
            <w:tcW w:w="7488" w:type="dxa"/>
            <w:tcMar>
              <w:top w:w="120" w:type="dxa"/>
              <w:left w:w="140" w:type="dxa"/>
              <w:bottom w:w="120" w:type="dxa"/>
              <w:right w:w="140" w:type="dxa"/>
            </w:tcMar>
            <w:vAlign w:val="center"/>
          </w:tcPr>
          <w:p w14:paraId="5F208F21" w14:textId="77777777" w:rsidR="004468CD" w:rsidRDefault="00000000">
            <w:pPr>
              <w:spacing w:after="0" w:line="245" w:lineRule="auto"/>
            </w:pPr>
            <w:r>
              <w:rPr>
                <w:sz w:val="18"/>
              </w:rPr>
              <w:t>invested during FY 2025-26</w:t>
            </w:r>
          </w:p>
        </w:tc>
      </w:tr>
      <w:tr w:rsidR="004468CD" w14:paraId="09600F5E" w14:textId="77777777">
        <w:trPr>
          <w:jc w:val="center"/>
        </w:trPr>
        <w:tc>
          <w:tcPr>
            <w:tcW w:w="2376" w:type="dxa"/>
            <w:shd w:val="clear" w:color="auto" w:fill="F3F6FB"/>
            <w:tcMar>
              <w:top w:w="120" w:type="dxa"/>
              <w:left w:w="140" w:type="dxa"/>
              <w:bottom w:w="120" w:type="dxa"/>
              <w:right w:w="140" w:type="dxa"/>
            </w:tcMar>
            <w:vAlign w:val="center"/>
          </w:tcPr>
          <w:p w14:paraId="04DF2388" w14:textId="77777777" w:rsidR="004468CD" w:rsidRDefault="00000000">
            <w:pPr>
              <w:spacing w:after="0" w:line="245" w:lineRule="auto"/>
            </w:pPr>
            <w:r>
              <w:rPr>
                <w:sz w:val="18"/>
              </w:rPr>
              <w:t>500+ and 7,500+</w:t>
            </w:r>
          </w:p>
        </w:tc>
        <w:tc>
          <w:tcPr>
            <w:tcW w:w="7488" w:type="dxa"/>
            <w:shd w:val="clear" w:color="auto" w:fill="F3F6FB"/>
            <w:tcMar>
              <w:top w:w="120" w:type="dxa"/>
              <w:left w:w="140" w:type="dxa"/>
              <w:bottom w:w="120" w:type="dxa"/>
              <w:right w:w="140" w:type="dxa"/>
            </w:tcMar>
            <w:vAlign w:val="center"/>
          </w:tcPr>
          <w:p w14:paraId="7F62B8FF" w14:textId="77777777" w:rsidR="004468CD" w:rsidRDefault="00000000">
            <w:pPr>
              <w:spacing w:after="0" w:line="245" w:lineRule="auto"/>
            </w:pPr>
            <w:r>
              <w:rPr>
                <w:sz w:val="18"/>
              </w:rPr>
              <w:t>employees and the wider Team CanKids network</w:t>
            </w:r>
          </w:p>
        </w:tc>
      </w:tr>
    </w:tbl>
    <w:p w14:paraId="453A3F06" w14:textId="77777777" w:rsidR="004468CD" w:rsidRDefault="004468CD">
      <w:pPr>
        <w:spacing w:after="0"/>
      </w:pPr>
    </w:p>
    <w:p w14:paraId="669093A8" w14:textId="77777777" w:rsidR="004468CD" w:rsidRDefault="00000000">
      <w:r>
        <w:t>Against an estimated 76,800 new childhood cancer cases annually, CanKids’ hospital partnerships reach more than 80% of children who access treatment. This gives CanKids both the field presence and the system perspective required to identify gaps and convert investment into measurable change.</w:t>
      </w:r>
    </w:p>
    <w:p w14:paraId="537D8300" w14:textId="77777777" w:rsidR="004468CD" w:rsidRDefault="00000000">
      <w:r>
        <w:br w:type="page"/>
      </w:r>
    </w:p>
    <w:p w14:paraId="11177138" w14:textId="77777777" w:rsidR="004468CD" w:rsidRDefault="00000000">
      <w:pPr>
        <w:pStyle w:val="Heading1"/>
      </w:pPr>
      <w:r>
        <w:lastRenderedPageBreak/>
        <w:t>Our Model</w:t>
      </w:r>
    </w:p>
    <w:p w14:paraId="4B5F1921" w14:textId="77777777" w:rsidR="004468CD" w:rsidRDefault="00000000">
      <w:r>
        <w:t>The 7S Mandala of Care is CanKids’ child- and family-centred systems framework. It recognises that survival depends not only on medicines and hospitals, but also on coordinated medical, psychosocial, educational, financial and community support throughout the child’s cancer journey.</w:t>
      </w:r>
    </w:p>
    <w:p w14:paraId="1A53F223" w14:textId="77777777" w:rsidR="004468CD" w:rsidRDefault="00000000">
      <w:r>
        <w:t>Its seven interconnected pillars are Sahbhagita - patient and family participation; Samanvay - governance, partnerships and care coordination; Sajhakaran - shared care; Sugamikaran - financial protection; Seva YANA - holistic support; Sakshamikaran - capacity building; and Sanshodhan - research, knowledge and innovation.</w:t>
      </w:r>
    </w:p>
    <w:p w14:paraId="217CF8D1" w14:textId="77777777" w:rsidR="004468CD" w:rsidRDefault="00000000">
      <w:pPr>
        <w:pStyle w:val="Heading1"/>
      </w:pPr>
      <w:r>
        <w:t>How CanKids Creates Change</w:t>
      </w:r>
    </w:p>
    <w:p w14:paraId="52622412" w14:textId="77777777" w:rsidR="004468CD" w:rsidRDefault="00000000">
      <w:pPr>
        <w:pStyle w:val="Heading2"/>
      </w:pPr>
      <w:r>
        <w:t>Hospitals Families and Continuity of Care</w:t>
      </w:r>
    </w:p>
    <w:p w14:paraId="1A0E9E95" w14:textId="77777777" w:rsidR="004468CD" w:rsidRDefault="00000000">
      <w:r>
        <w:t>CanKids Hospital Support Units place trained multidisciplinary teams alongside treating institutions. YANA - You Are Not Alone - connects treatment and diagnostics support with nutrition, accommodation, transport, psychosocial care, education, patient navigation and continuity through survivorship and palliative care. Home Away From Homes, CanShala for Life, Subhita palliative care, Passport2Life survivorship services and digital CanNurture, CanNourish and CanShala services help children continue life during and after cancer.</w:t>
      </w:r>
    </w:p>
    <w:p w14:paraId="3DE67E04" w14:textId="77777777" w:rsidR="004468CD" w:rsidRDefault="00000000">
      <w:pPr>
        <w:pStyle w:val="Heading2"/>
      </w:pPr>
      <w:r>
        <w:t>State Systems Shared Care and Financial Protection</w:t>
      </w:r>
    </w:p>
    <w:p w14:paraId="4E7D28A8" w14:textId="77777777" w:rsidR="004468CD" w:rsidRDefault="00000000">
      <w:r>
        <w:t>Regional and State Care Coordination Samanvay Kendras connect communities, districts, referral centres and tertiary hospitals. Through government MoUs and State Projects, CanKids supports mapping, early detection and referral, Childhood Cancer Care Divisions, hub-and-spoke networks, shared-care pathways, task forces, data and monitoring, policy implementation and convergence with more than 61 government insurance and welfare schemes.</w:t>
      </w:r>
    </w:p>
    <w:p w14:paraId="328DA0A1" w14:textId="77777777" w:rsidR="004468CD" w:rsidRDefault="00000000">
      <w:pPr>
        <w:pStyle w:val="Heading2"/>
      </w:pPr>
      <w:r>
        <w:t>Selected Evidence and Demonstrated Outcomes</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520"/>
        <w:gridCol w:w="7344"/>
      </w:tblGrid>
      <w:tr w:rsidR="004468CD" w14:paraId="2E027E2A" w14:textId="77777777">
        <w:trPr>
          <w:tblHeader/>
          <w:jc w:val="center"/>
        </w:trPr>
        <w:tc>
          <w:tcPr>
            <w:tcW w:w="2520" w:type="dxa"/>
            <w:shd w:val="clear" w:color="auto" w:fill="123E8A"/>
            <w:tcMar>
              <w:top w:w="120" w:type="dxa"/>
              <w:left w:w="140" w:type="dxa"/>
              <w:bottom w:w="120" w:type="dxa"/>
              <w:right w:w="140" w:type="dxa"/>
            </w:tcMar>
            <w:vAlign w:val="center"/>
          </w:tcPr>
          <w:p w14:paraId="7E581408" w14:textId="77777777" w:rsidR="004468CD" w:rsidRDefault="00000000">
            <w:pPr>
              <w:spacing w:after="0" w:line="245" w:lineRule="auto"/>
            </w:pPr>
            <w:r>
              <w:rPr>
                <w:b/>
                <w:color w:val="FFFFFF"/>
                <w:sz w:val="18"/>
              </w:rPr>
              <w:t>Evidence of change</w:t>
            </w:r>
          </w:p>
        </w:tc>
        <w:tc>
          <w:tcPr>
            <w:tcW w:w="7344" w:type="dxa"/>
            <w:shd w:val="clear" w:color="auto" w:fill="123E8A"/>
            <w:tcMar>
              <w:top w:w="120" w:type="dxa"/>
              <w:left w:w="140" w:type="dxa"/>
              <w:bottom w:w="120" w:type="dxa"/>
              <w:right w:w="140" w:type="dxa"/>
            </w:tcMar>
            <w:vAlign w:val="center"/>
          </w:tcPr>
          <w:p w14:paraId="1405650E" w14:textId="77777777" w:rsidR="004468CD" w:rsidRDefault="00000000">
            <w:pPr>
              <w:spacing w:after="0" w:line="245" w:lineRule="auto"/>
            </w:pPr>
            <w:r>
              <w:rPr>
                <w:b/>
                <w:color w:val="FFFFFF"/>
                <w:sz w:val="18"/>
              </w:rPr>
              <w:t>Demonstrated position</w:t>
            </w:r>
          </w:p>
        </w:tc>
      </w:tr>
      <w:tr w:rsidR="004468CD" w14:paraId="0664B10A" w14:textId="77777777">
        <w:trPr>
          <w:jc w:val="center"/>
        </w:trPr>
        <w:tc>
          <w:tcPr>
            <w:tcW w:w="2520" w:type="dxa"/>
            <w:tcMar>
              <w:top w:w="120" w:type="dxa"/>
              <w:left w:w="140" w:type="dxa"/>
              <w:bottom w:w="120" w:type="dxa"/>
              <w:right w:w="140" w:type="dxa"/>
            </w:tcMar>
            <w:vAlign w:val="center"/>
          </w:tcPr>
          <w:p w14:paraId="30AECDF3" w14:textId="77777777" w:rsidR="004468CD" w:rsidRDefault="00000000">
            <w:pPr>
              <w:spacing w:after="0" w:line="245" w:lineRule="auto"/>
            </w:pPr>
            <w:r>
              <w:rPr>
                <w:sz w:val="18"/>
              </w:rPr>
              <w:t>National access</w:t>
            </w:r>
          </w:p>
        </w:tc>
        <w:tc>
          <w:tcPr>
            <w:tcW w:w="7344" w:type="dxa"/>
            <w:tcMar>
              <w:top w:w="120" w:type="dxa"/>
              <w:left w:w="140" w:type="dxa"/>
              <w:bottom w:w="120" w:type="dxa"/>
              <w:right w:w="140" w:type="dxa"/>
            </w:tcMar>
            <w:vAlign w:val="center"/>
          </w:tcPr>
          <w:p w14:paraId="3D1FC210" w14:textId="77777777" w:rsidR="004468CD" w:rsidRDefault="00000000">
            <w:pPr>
              <w:spacing w:after="0" w:line="245" w:lineRule="auto"/>
            </w:pPr>
            <w:r>
              <w:rPr>
                <w:sz w:val="18"/>
              </w:rPr>
              <w:t>Increased from 29% in 2019 to 61.6% by March 2026</w:t>
            </w:r>
          </w:p>
        </w:tc>
      </w:tr>
      <w:tr w:rsidR="004468CD" w14:paraId="048C4C8C" w14:textId="77777777">
        <w:trPr>
          <w:jc w:val="center"/>
        </w:trPr>
        <w:tc>
          <w:tcPr>
            <w:tcW w:w="2520" w:type="dxa"/>
            <w:shd w:val="clear" w:color="auto" w:fill="F3F6FB"/>
            <w:tcMar>
              <w:top w:w="120" w:type="dxa"/>
              <w:left w:w="140" w:type="dxa"/>
              <w:bottom w:w="120" w:type="dxa"/>
              <w:right w:w="140" w:type="dxa"/>
            </w:tcMar>
            <w:vAlign w:val="center"/>
          </w:tcPr>
          <w:p w14:paraId="5FE87C36" w14:textId="77777777" w:rsidR="004468CD" w:rsidRDefault="00000000">
            <w:pPr>
              <w:spacing w:after="0" w:line="245" w:lineRule="auto"/>
            </w:pPr>
            <w:r>
              <w:rPr>
                <w:sz w:val="18"/>
              </w:rPr>
              <w:t>Retinoblastoma</w:t>
            </w:r>
          </w:p>
        </w:tc>
        <w:tc>
          <w:tcPr>
            <w:tcW w:w="7344" w:type="dxa"/>
            <w:shd w:val="clear" w:color="auto" w:fill="F3F6FB"/>
            <w:tcMar>
              <w:top w:w="120" w:type="dxa"/>
              <w:left w:w="140" w:type="dxa"/>
              <w:bottom w:w="120" w:type="dxa"/>
              <w:right w:w="140" w:type="dxa"/>
            </w:tcMar>
            <w:vAlign w:val="center"/>
          </w:tcPr>
          <w:p w14:paraId="74F20A91" w14:textId="77777777" w:rsidR="004468CD" w:rsidRDefault="00000000">
            <w:pPr>
              <w:spacing w:after="0" w:line="245" w:lineRule="auto"/>
            </w:pPr>
            <w:r>
              <w:rPr>
                <w:sz w:val="18"/>
              </w:rPr>
              <w:t>99.2% access to treatment in 2026, demonstrating that near-universal access can be achieved</w:t>
            </w:r>
          </w:p>
        </w:tc>
      </w:tr>
      <w:tr w:rsidR="004468CD" w14:paraId="4E37F1AF" w14:textId="77777777">
        <w:trPr>
          <w:jc w:val="center"/>
        </w:trPr>
        <w:tc>
          <w:tcPr>
            <w:tcW w:w="2520" w:type="dxa"/>
            <w:tcMar>
              <w:top w:w="120" w:type="dxa"/>
              <w:left w:w="140" w:type="dxa"/>
              <w:bottom w:w="120" w:type="dxa"/>
              <w:right w:w="140" w:type="dxa"/>
            </w:tcMar>
            <w:vAlign w:val="center"/>
          </w:tcPr>
          <w:p w14:paraId="156151AE" w14:textId="77777777" w:rsidR="004468CD" w:rsidRDefault="00000000">
            <w:pPr>
              <w:spacing w:after="0" w:line="245" w:lineRule="auto"/>
            </w:pPr>
            <w:r>
              <w:rPr>
                <w:sz w:val="18"/>
              </w:rPr>
              <w:t>Survival evidence</w:t>
            </w:r>
          </w:p>
        </w:tc>
        <w:tc>
          <w:tcPr>
            <w:tcW w:w="7344" w:type="dxa"/>
            <w:tcMar>
              <w:top w:w="120" w:type="dxa"/>
              <w:left w:w="140" w:type="dxa"/>
              <w:bottom w:w="120" w:type="dxa"/>
              <w:right w:w="140" w:type="dxa"/>
            </w:tcMar>
            <w:vAlign w:val="center"/>
          </w:tcPr>
          <w:p w14:paraId="51874A3D" w14:textId="77777777" w:rsidR="004468CD" w:rsidRDefault="00000000">
            <w:pPr>
              <w:spacing w:after="0" w:line="245" w:lineRule="auto"/>
            </w:pPr>
            <w:r>
              <w:rPr>
                <w:sz w:val="18"/>
              </w:rPr>
              <w:t>Pooled 2026 estimate of 62-67% for children reaching treatment centres</w:t>
            </w:r>
          </w:p>
        </w:tc>
      </w:tr>
      <w:tr w:rsidR="004468CD" w14:paraId="2E9E8B74" w14:textId="77777777">
        <w:trPr>
          <w:jc w:val="center"/>
        </w:trPr>
        <w:tc>
          <w:tcPr>
            <w:tcW w:w="2520" w:type="dxa"/>
            <w:shd w:val="clear" w:color="auto" w:fill="F3F6FB"/>
            <w:tcMar>
              <w:top w:w="120" w:type="dxa"/>
              <w:left w:w="140" w:type="dxa"/>
              <w:bottom w:w="120" w:type="dxa"/>
              <w:right w:w="140" w:type="dxa"/>
            </w:tcMar>
            <w:vAlign w:val="center"/>
          </w:tcPr>
          <w:p w14:paraId="533F9326" w14:textId="77777777" w:rsidR="004468CD" w:rsidRDefault="00000000">
            <w:pPr>
              <w:spacing w:after="0" w:line="245" w:lineRule="auto"/>
            </w:pPr>
            <w:r>
              <w:rPr>
                <w:sz w:val="18"/>
              </w:rPr>
              <w:t>Research platform</w:t>
            </w:r>
          </w:p>
        </w:tc>
        <w:tc>
          <w:tcPr>
            <w:tcW w:w="7344" w:type="dxa"/>
            <w:shd w:val="clear" w:color="auto" w:fill="F3F6FB"/>
            <w:tcMar>
              <w:top w:w="120" w:type="dxa"/>
              <w:left w:w="140" w:type="dxa"/>
              <w:bottom w:w="120" w:type="dxa"/>
              <w:right w:w="140" w:type="dxa"/>
            </w:tcMar>
            <w:vAlign w:val="center"/>
          </w:tcPr>
          <w:p w14:paraId="48FD0B12" w14:textId="77777777" w:rsidR="004468CD" w:rsidRDefault="00000000">
            <w:pPr>
              <w:spacing w:after="0" w:line="245" w:lineRule="auto"/>
            </w:pPr>
            <w:r>
              <w:rPr>
                <w:sz w:val="18"/>
              </w:rPr>
              <w:t>SIRO-recognised institute; more than 80 studies and projects, including eight OCAT programmes</w:t>
            </w:r>
          </w:p>
        </w:tc>
      </w:tr>
      <w:tr w:rsidR="004468CD" w14:paraId="0C690CB3" w14:textId="77777777">
        <w:trPr>
          <w:jc w:val="center"/>
        </w:trPr>
        <w:tc>
          <w:tcPr>
            <w:tcW w:w="2520" w:type="dxa"/>
            <w:tcMar>
              <w:top w:w="120" w:type="dxa"/>
              <w:left w:w="140" w:type="dxa"/>
              <w:bottom w:w="120" w:type="dxa"/>
              <w:right w:w="140" w:type="dxa"/>
            </w:tcMar>
            <w:vAlign w:val="center"/>
          </w:tcPr>
          <w:p w14:paraId="1358B9C9" w14:textId="77777777" w:rsidR="004468CD" w:rsidRDefault="00000000">
            <w:pPr>
              <w:spacing w:after="0" w:line="245" w:lineRule="auto"/>
            </w:pPr>
            <w:r>
              <w:rPr>
                <w:sz w:val="18"/>
              </w:rPr>
              <w:t>People and capacity</w:t>
            </w:r>
          </w:p>
        </w:tc>
        <w:tc>
          <w:tcPr>
            <w:tcW w:w="7344" w:type="dxa"/>
            <w:tcMar>
              <w:top w:w="120" w:type="dxa"/>
              <w:left w:w="140" w:type="dxa"/>
              <w:bottom w:w="120" w:type="dxa"/>
              <w:right w:w="140" w:type="dxa"/>
            </w:tcMar>
            <w:vAlign w:val="center"/>
          </w:tcPr>
          <w:p w14:paraId="4DDC02ED" w14:textId="77777777" w:rsidR="004468CD" w:rsidRDefault="00000000">
            <w:pPr>
              <w:spacing w:after="0" w:line="245" w:lineRule="auto"/>
            </w:pPr>
            <w:r>
              <w:rPr>
                <w:sz w:val="18"/>
              </w:rPr>
              <w:t>6,500+ parent and survivor group members; 436 paediatric oncology capacity-building programmes</w:t>
            </w:r>
          </w:p>
        </w:tc>
      </w:tr>
    </w:tbl>
    <w:p w14:paraId="3518F742" w14:textId="77777777" w:rsidR="004468CD" w:rsidRDefault="004468CD">
      <w:pPr>
        <w:spacing w:after="0"/>
      </w:pPr>
    </w:p>
    <w:p w14:paraId="19D27CB7" w14:textId="77777777" w:rsidR="004468CD" w:rsidRDefault="00000000">
      <w:r>
        <w:br w:type="page"/>
      </w:r>
    </w:p>
    <w:p w14:paraId="3B0734E0" w14:textId="77777777" w:rsidR="004468CD" w:rsidRDefault="00000000">
      <w:pPr>
        <w:pStyle w:val="Heading1"/>
      </w:pPr>
      <w:r>
        <w:lastRenderedPageBreak/>
        <w:t>Partnership Opportunities</w:t>
      </w:r>
    </w:p>
    <w:p w14:paraId="1E84384A" w14:textId="77777777" w:rsidR="004468CD" w:rsidRDefault="00000000">
      <w:r>
        <w:t>Impact partners can work with CanKids at the level of a child, hospital, state, disease pathway or the national ecosystem. Together, we can build demonstration models in defined geographies or care pathways, measure their outcomes and generate the evidence and implementation learning needed for wider adoption and scale.</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592"/>
        <w:gridCol w:w="7272"/>
      </w:tblGrid>
      <w:tr w:rsidR="004468CD" w14:paraId="39C2E1A1" w14:textId="77777777">
        <w:trPr>
          <w:tblHeader/>
          <w:jc w:val="center"/>
        </w:trPr>
        <w:tc>
          <w:tcPr>
            <w:tcW w:w="2592" w:type="dxa"/>
            <w:shd w:val="clear" w:color="auto" w:fill="123E8A"/>
            <w:tcMar>
              <w:top w:w="120" w:type="dxa"/>
              <w:left w:w="140" w:type="dxa"/>
              <w:bottom w:w="120" w:type="dxa"/>
              <w:right w:w="140" w:type="dxa"/>
            </w:tcMar>
            <w:vAlign w:val="center"/>
          </w:tcPr>
          <w:p w14:paraId="51702A3A" w14:textId="77777777" w:rsidR="004468CD" w:rsidRDefault="00000000">
            <w:pPr>
              <w:spacing w:after="0" w:line="245" w:lineRule="auto"/>
            </w:pPr>
            <w:r>
              <w:rPr>
                <w:b/>
                <w:color w:val="FFFFFF"/>
                <w:sz w:val="18"/>
              </w:rPr>
              <w:t>Partnership pathway</w:t>
            </w:r>
          </w:p>
        </w:tc>
        <w:tc>
          <w:tcPr>
            <w:tcW w:w="7272" w:type="dxa"/>
            <w:shd w:val="clear" w:color="auto" w:fill="123E8A"/>
            <w:tcMar>
              <w:top w:w="120" w:type="dxa"/>
              <w:left w:w="140" w:type="dxa"/>
              <w:bottom w:w="120" w:type="dxa"/>
              <w:right w:w="140" w:type="dxa"/>
            </w:tcMar>
            <w:vAlign w:val="center"/>
          </w:tcPr>
          <w:p w14:paraId="5710C783" w14:textId="77777777" w:rsidR="004468CD" w:rsidRDefault="00000000">
            <w:pPr>
              <w:spacing w:after="0" w:line="245" w:lineRule="auto"/>
            </w:pPr>
            <w:r>
              <w:rPr>
                <w:b/>
                <w:color w:val="FFFFFF"/>
                <w:sz w:val="18"/>
              </w:rPr>
              <w:t>What it can enable</w:t>
            </w:r>
          </w:p>
        </w:tc>
      </w:tr>
      <w:tr w:rsidR="004468CD" w14:paraId="03E0C55B" w14:textId="77777777">
        <w:trPr>
          <w:jc w:val="center"/>
        </w:trPr>
        <w:tc>
          <w:tcPr>
            <w:tcW w:w="2592" w:type="dxa"/>
            <w:tcMar>
              <w:top w:w="120" w:type="dxa"/>
              <w:left w:w="140" w:type="dxa"/>
              <w:bottom w:w="120" w:type="dxa"/>
              <w:right w:w="140" w:type="dxa"/>
            </w:tcMar>
            <w:vAlign w:val="center"/>
          </w:tcPr>
          <w:p w14:paraId="0456ACB1" w14:textId="77777777" w:rsidR="004468CD" w:rsidRDefault="00000000">
            <w:pPr>
              <w:spacing w:after="0" w:line="245" w:lineRule="auto"/>
            </w:pPr>
            <w:r>
              <w:rPr>
                <w:sz w:val="18"/>
              </w:rPr>
              <w:t>State transformation</w:t>
            </w:r>
          </w:p>
        </w:tc>
        <w:tc>
          <w:tcPr>
            <w:tcW w:w="7272" w:type="dxa"/>
            <w:tcMar>
              <w:top w:w="120" w:type="dxa"/>
              <w:left w:w="140" w:type="dxa"/>
              <w:bottom w:w="120" w:type="dxa"/>
              <w:right w:w="140" w:type="dxa"/>
            </w:tcMar>
            <w:vAlign w:val="center"/>
          </w:tcPr>
          <w:p w14:paraId="0C2BB58E" w14:textId="77777777" w:rsidR="004468CD" w:rsidRDefault="00000000">
            <w:pPr>
              <w:spacing w:after="0" w:line="245" w:lineRule="auto"/>
            </w:pPr>
            <w:r>
              <w:rPr>
                <w:sz w:val="18"/>
              </w:rPr>
              <w:t>Early detection, referral, shared care, financial-protection convergence, data and implementation through a State Project.</w:t>
            </w:r>
          </w:p>
        </w:tc>
      </w:tr>
      <w:tr w:rsidR="004468CD" w14:paraId="56A4410E" w14:textId="77777777">
        <w:trPr>
          <w:jc w:val="center"/>
        </w:trPr>
        <w:tc>
          <w:tcPr>
            <w:tcW w:w="2592" w:type="dxa"/>
            <w:shd w:val="clear" w:color="auto" w:fill="F3F6FB"/>
            <w:tcMar>
              <w:top w:w="120" w:type="dxa"/>
              <w:left w:w="140" w:type="dxa"/>
              <w:bottom w:w="120" w:type="dxa"/>
              <w:right w:w="140" w:type="dxa"/>
            </w:tcMar>
            <w:vAlign w:val="center"/>
          </w:tcPr>
          <w:p w14:paraId="60FFF372" w14:textId="77777777" w:rsidR="004468CD" w:rsidRDefault="00000000">
            <w:pPr>
              <w:spacing w:after="0" w:line="245" w:lineRule="auto"/>
            </w:pPr>
            <w:r>
              <w:rPr>
                <w:sz w:val="18"/>
              </w:rPr>
              <w:t>Hospital and family support</w:t>
            </w:r>
          </w:p>
        </w:tc>
        <w:tc>
          <w:tcPr>
            <w:tcW w:w="7272" w:type="dxa"/>
            <w:shd w:val="clear" w:color="auto" w:fill="F3F6FB"/>
            <w:tcMar>
              <w:top w:w="120" w:type="dxa"/>
              <w:left w:w="140" w:type="dxa"/>
              <w:bottom w:w="120" w:type="dxa"/>
              <w:right w:w="140" w:type="dxa"/>
            </w:tcMar>
            <w:vAlign w:val="center"/>
          </w:tcPr>
          <w:p w14:paraId="562B4FE1" w14:textId="77777777" w:rsidR="004468CD" w:rsidRDefault="00000000">
            <w:pPr>
              <w:spacing w:after="0" w:line="245" w:lineRule="auto"/>
            </w:pPr>
            <w:r>
              <w:rPr>
                <w:sz w:val="18"/>
              </w:rPr>
              <w:t>Hospital Support Units, accommodation, nutrition, education, psychosocial, palliative and survivorship services.</w:t>
            </w:r>
          </w:p>
        </w:tc>
      </w:tr>
      <w:tr w:rsidR="004468CD" w14:paraId="37EF791D" w14:textId="77777777">
        <w:trPr>
          <w:jc w:val="center"/>
        </w:trPr>
        <w:tc>
          <w:tcPr>
            <w:tcW w:w="2592" w:type="dxa"/>
            <w:tcMar>
              <w:top w:w="120" w:type="dxa"/>
              <w:left w:w="140" w:type="dxa"/>
              <w:bottom w:w="120" w:type="dxa"/>
              <w:right w:w="140" w:type="dxa"/>
            </w:tcMar>
            <w:vAlign w:val="center"/>
          </w:tcPr>
          <w:p w14:paraId="76609983" w14:textId="77777777" w:rsidR="004468CD" w:rsidRDefault="00000000">
            <w:pPr>
              <w:spacing w:after="0" w:line="245" w:lineRule="auto"/>
            </w:pPr>
            <w:r>
              <w:rPr>
                <w:sz w:val="18"/>
              </w:rPr>
              <w:t>Disease outcomes</w:t>
            </w:r>
          </w:p>
        </w:tc>
        <w:tc>
          <w:tcPr>
            <w:tcW w:w="7272" w:type="dxa"/>
            <w:tcMar>
              <w:top w:w="120" w:type="dxa"/>
              <w:left w:w="140" w:type="dxa"/>
              <w:bottom w:w="120" w:type="dxa"/>
              <w:right w:w="140" w:type="dxa"/>
            </w:tcMar>
            <w:vAlign w:val="center"/>
          </w:tcPr>
          <w:p w14:paraId="72EE3837" w14:textId="77777777" w:rsidR="004468CD" w:rsidRDefault="00000000">
            <w:pPr>
              <w:spacing w:after="0" w:line="245" w:lineRule="auto"/>
            </w:pPr>
            <w:r>
              <w:rPr>
                <w:sz w:val="18"/>
              </w:rPr>
              <w:t>OCAT platforms connecting protocols, multidisciplinary expertise, patient support, registries and outcome monitoring.</w:t>
            </w:r>
          </w:p>
        </w:tc>
      </w:tr>
      <w:tr w:rsidR="004468CD" w14:paraId="0689BDE4" w14:textId="77777777">
        <w:trPr>
          <w:jc w:val="center"/>
        </w:trPr>
        <w:tc>
          <w:tcPr>
            <w:tcW w:w="2592" w:type="dxa"/>
            <w:shd w:val="clear" w:color="auto" w:fill="F3F6FB"/>
            <w:tcMar>
              <w:top w:w="120" w:type="dxa"/>
              <w:left w:w="140" w:type="dxa"/>
              <w:bottom w:w="120" w:type="dxa"/>
              <w:right w:w="140" w:type="dxa"/>
            </w:tcMar>
            <w:vAlign w:val="center"/>
          </w:tcPr>
          <w:p w14:paraId="79060CFF" w14:textId="77777777" w:rsidR="004468CD" w:rsidRDefault="00000000">
            <w:pPr>
              <w:spacing w:after="0" w:line="245" w:lineRule="auto"/>
            </w:pPr>
            <w:r>
              <w:rPr>
                <w:sz w:val="18"/>
              </w:rPr>
              <w:t>Workforce and evidence</w:t>
            </w:r>
          </w:p>
        </w:tc>
        <w:tc>
          <w:tcPr>
            <w:tcW w:w="7272" w:type="dxa"/>
            <w:shd w:val="clear" w:color="auto" w:fill="F3F6FB"/>
            <w:tcMar>
              <w:top w:w="120" w:type="dxa"/>
              <w:left w:w="140" w:type="dxa"/>
              <w:bottom w:w="120" w:type="dxa"/>
              <w:right w:w="140" w:type="dxa"/>
            </w:tcMar>
            <w:vAlign w:val="center"/>
          </w:tcPr>
          <w:p w14:paraId="782D8D11" w14:textId="77777777" w:rsidR="004468CD" w:rsidRDefault="00000000">
            <w:pPr>
              <w:spacing w:after="0" w:line="245" w:lineRule="auto"/>
            </w:pPr>
            <w:r>
              <w:rPr>
                <w:sz w:val="18"/>
              </w:rPr>
              <w:t>Capacity building, implementation research, patient-led research, digital platforms and knowledge translation.</w:t>
            </w:r>
          </w:p>
        </w:tc>
      </w:tr>
    </w:tbl>
    <w:p w14:paraId="6D4678EA" w14:textId="77777777" w:rsidR="004468CD" w:rsidRDefault="004468CD">
      <w:pPr>
        <w:spacing w:after="0"/>
      </w:pPr>
    </w:p>
    <w:p w14:paraId="4399A5D7" w14:textId="77777777" w:rsidR="004468CD" w:rsidRDefault="00000000">
      <w:pPr>
        <w:pStyle w:val="Heading1"/>
      </w:pPr>
      <w:r>
        <w:t>Why Partner With CanKids</w:t>
      </w:r>
    </w:p>
    <w:p w14:paraId="787BF441" w14:textId="77777777" w:rsidR="004468CD" w:rsidRDefault="00000000">
      <w:pPr>
        <w:pStyle w:val="ListBullet"/>
        <w:spacing w:after="80"/>
      </w:pPr>
      <w:r>
        <w:t>The ability to design, demonstrate, measure and scale models with government and clinical partners.</w:t>
      </w:r>
    </w:p>
    <w:p w14:paraId="465668EF" w14:textId="77777777" w:rsidR="004468CD" w:rsidRDefault="00000000">
      <w:pPr>
        <w:pStyle w:val="ListBullet"/>
        <w:spacing w:after="80"/>
      </w:pPr>
      <w:r>
        <w:t>A combined service-and-systems model rather than a stand-alone intervention.</w:t>
      </w:r>
    </w:p>
    <w:p w14:paraId="7C047475" w14:textId="77777777" w:rsidR="004468CD" w:rsidRDefault="00000000">
      <w:pPr>
        <w:pStyle w:val="ListBullet"/>
        <w:spacing w:after="80"/>
      </w:pPr>
      <w:r>
        <w:t>Formal government partnerships that connect implementation evidence with policy and public systems.</w:t>
      </w:r>
    </w:p>
    <w:p w14:paraId="51F4B253" w14:textId="77777777" w:rsidR="004468CD" w:rsidRDefault="00000000">
      <w:pPr>
        <w:pStyle w:val="ListBullet"/>
        <w:spacing w:after="80"/>
      </w:pPr>
      <w:r>
        <w:t>Patient and family participation embedded in programmes, research, advocacy and leadership.</w:t>
      </w:r>
    </w:p>
    <w:p w14:paraId="336A03E1" w14:textId="77777777" w:rsidR="004468CD" w:rsidRDefault="00000000">
      <w:pPr>
        <w:pStyle w:val="ListBullet"/>
        <w:spacing w:after="80"/>
      </w:pPr>
      <w:r>
        <w:t>An organisational platform capable of managing complex, multi-location and measurable partnerships.</w:t>
      </w:r>
    </w:p>
    <w:p w14:paraId="05238D88" w14:textId="77777777" w:rsidR="004468CD" w:rsidRDefault="00000000">
      <w:pPr>
        <w:pStyle w:val="Heading1"/>
      </w:pPr>
      <w:r>
        <w:t>Scale Stewardship and Governance</w:t>
      </w:r>
    </w:p>
    <w:p w14:paraId="3FF95620" w14:textId="77777777" w:rsidR="004468CD" w:rsidRDefault="00000000">
      <w:r>
        <w:t>CanKids invested INR 59.20 crore (USD 6.177 million) in FY 2025-26; its Board-approved FY 2026-27 budget is INR 75.88 crore (USD 7.90 million). CanKids raises the resources for this work through individual giving, CSR and foundation grants, events, and digital and retail campaigns. Institutional strengthening and operations represented 14% of expenditure, supporting the people, technology, monitoring, evaluation and financial systems required for responsible scale.</w:t>
      </w:r>
    </w:p>
    <w:p w14:paraId="5B69DA8C" w14:textId="77777777" w:rsidR="004468CD" w:rsidRDefault="00000000">
      <w:r>
        <w:t>An independent national society since 2012, CanKids holds applicable registrations including 12A, 80G, NITI Aayog Darpan, MCA CSR registration and FCRA. It is governed by a Board of Governors and supported by board and management committees for finance, governance, people, programmes, medical and research oversight, quality and strategy.</w:t>
      </w:r>
    </w:p>
    <w:p w14:paraId="06F20D4C" w14:textId="77777777" w:rsidR="004468CD" w:rsidRDefault="00000000">
      <w:r>
        <w:rPr>
          <w:b/>
        </w:rPr>
        <w:t>Together, we can move childhood cancer in India towards timely care, financial protection, stronger survival and a life beyond cancer.</w:t>
      </w:r>
      <w:r>
        <w:rPr>
          <w:b/>
        </w:rPr>
        <w:br/>
      </w:r>
      <w:r>
        <w:rPr>
          <w:b/>
        </w:rPr>
        <w:br/>
        <w:t>National Helpline  9953591578  |  cankidsindia.org</w:t>
      </w:r>
    </w:p>
    <w:sectPr w:rsidR="004468CD" w:rsidSect="00034616">
      <w:footerReference w:type="default" r:id="rId8"/>
      <w:pgSz w:w="12240" w:h="15840"/>
      <w:pgMar w:top="979" w:right="1037" w:bottom="979"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23CBC" w14:textId="77777777" w:rsidR="006514FF" w:rsidRDefault="006514FF">
      <w:pPr>
        <w:spacing w:after="0" w:line="240" w:lineRule="auto"/>
      </w:pPr>
      <w:r>
        <w:separator/>
      </w:r>
    </w:p>
  </w:endnote>
  <w:endnote w:type="continuationSeparator" w:id="0">
    <w:p w14:paraId="1DEED081" w14:textId="77777777" w:rsidR="006514FF" w:rsidRDefault="00651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9D47F" w14:textId="77777777" w:rsidR="004468CD" w:rsidRDefault="00000000">
    <w:pPr>
      <w:pStyle w:val="Footer"/>
      <w:jc w:val="center"/>
    </w:pPr>
    <w:proofErr w:type="spellStart"/>
    <w:r>
      <w:rPr>
        <w:color w:val="646464"/>
        <w:sz w:val="16"/>
      </w:rPr>
      <w:t>CanKids</w:t>
    </w:r>
    <w:proofErr w:type="spellEnd"/>
    <w:r>
      <w:rPr>
        <w:color w:val="646464"/>
        <w:sz w:val="16"/>
      </w:rPr>
      <w:t xml:space="preserve"> </w:t>
    </w:r>
    <w:proofErr w:type="gramStart"/>
    <w:r>
      <w:rPr>
        <w:color w:val="646464"/>
        <w:sz w:val="16"/>
      </w:rPr>
      <w:t>KidsCan  |</w:t>
    </w:r>
    <w:proofErr w:type="gramEnd"/>
    <w:r>
      <w:rPr>
        <w:color w:val="646464"/>
        <w:sz w:val="16"/>
      </w:rPr>
      <w:t xml:space="preserve">  </w:t>
    </w:r>
    <w:proofErr w:type="spellStart"/>
    <w:r>
      <w:rPr>
        <w:color w:val="646464"/>
        <w:sz w:val="16"/>
      </w:rPr>
      <w:t>Organisation</w:t>
    </w:r>
    <w:proofErr w:type="spellEnd"/>
    <w:r>
      <w:rPr>
        <w:color w:val="646464"/>
        <w:sz w:val="16"/>
      </w:rPr>
      <w:t xml:space="preserve"> Profile for Impact </w:t>
    </w:r>
    <w:proofErr w:type="gramStart"/>
    <w:r>
      <w:rPr>
        <w:color w:val="646464"/>
        <w:sz w:val="16"/>
      </w:rPr>
      <w:t>Partners  |</w:t>
    </w:r>
    <w:proofErr w:type="gramEnd"/>
    <w:r>
      <w:rPr>
        <w:color w:val="646464"/>
        <w:sz w:val="16"/>
      </w:rPr>
      <w:t xml:space="preserv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D7FF2" w14:textId="77777777" w:rsidR="006514FF" w:rsidRDefault="006514FF">
      <w:pPr>
        <w:spacing w:after="0" w:line="240" w:lineRule="auto"/>
      </w:pPr>
      <w:r>
        <w:separator/>
      </w:r>
    </w:p>
  </w:footnote>
  <w:footnote w:type="continuationSeparator" w:id="0">
    <w:p w14:paraId="38C61798" w14:textId="77777777" w:rsidR="006514FF" w:rsidRDefault="006514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7069335">
    <w:abstractNumId w:val="8"/>
  </w:num>
  <w:num w:numId="2" w16cid:durableId="1994679505">
    <w:abstractNumId w:val="6"/>
  </w:num>
  <w:num w:numId="3" w16cid:durableId="1736976892">
    <w:abstractNumId w:val="5"/>
  </w:num>
  <w:num w:numId="4" w16cid:durableId="876963955">
    <w:abstractNumId w:val="4"/>
  </w:num>
  <w:num w:numId="5" w16cid:durableId="700740360">
    <w:abstractNumId w:val="7"/>
  </w:num>
  <w:num w:numId="6" w16cid:durableId="106046727">
    <w:abstractNumId w:val="3"/>
  </w:num>
  <w:num w:numId="7" w16cid:durableId="24135720">
    <w:abstractNumId w:val="2"/>
  </w:num>
  <w:num w:numId="8" w16cid:durableId="1164971200">
    <w:abstractNumId w:val="1"/>
  </w:num>
  <w:num w:numId="9" w16cid:durableId="1750619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3CE8"/>
    <w:rsid w:val="0015074B"/>
    <w:rsid w:val="0029639D"/>
    <w:rsid w:val="003008D0"/>
    <w:rsid w:val="00326F90"/>
    <w:rsid w:val="004468CD"/>
    <w:rsid w:val="006514F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4A63AA"/>
  <w14:defaultImageDpi w14:val="300"/>
  <w15:docId w15:val="{F803096B-5004-4E14-BA5B-F62CBAF25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0" w:lineRule="auto"/>
    </w:pPr>
    <w:rPr>
      <w:rFonts w:ascii="Aptos" w:hAnsi="Aptos"/>
      <w:color w:val="1F2A37"/>
      <w:sz w:val="19"/>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1057</Words>
  <Characters>6029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CanKids Organisation Profile for Impact Partners</dc:title>
  <dc:subject>CanKids KidsCan organisational profile September 2026</dc:subject>
  <dc:creator>CanKids KidsCan</dc:creator>
  <cp:keywords/>
  <dc:description>generated by python-docx</dc:description>
  <cp:lastModifiedBy>CANKIDS KIDSCAN</cp:lastModifiedBy>
  <cp:revision>2</cp:revision>
  <dcterms:created xsi:type="dcterms:W3CDTF">2013-12-23T23:15:00Z</dcterms:created>
  <dcterms:modified xsi:type="dcterms:W3CDTF">2026-09-16T13:27:00Z</dcterms:modified>
  <cp:category/>
</cp:coreProperties>
</file>